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C253A" w14:textId="19425C5B" w:rsidR="00382424" w:rsidRDefault="00382424">
      <w:r>
        <w:t>Published in CAI’s Common Ground January February 2021 Edition</w:t>
      </w:r>
      <w:r w:rsidRPr="00382424">
        <w:drawing>
          <wp:inline distT="0" distB="0" distL="0" distR="0" wp14:anchorId="7489D63E" wp14:editId="29A3483C">
            <wp:extent cx="6153150" cy="803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803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2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24"/>
    <w:rsid w:val="00382424"/>
    <w:rsid w:val="0074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30A5D"/>
  <w15:chartTrackingRefBased/>
  <w15:docId w15:val="{D1771ADD-51B7-4535-B2E6-E2CFE69C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Storey</dc:creator>
  <cp:keywords/>
  <dc:description/>
  <cp:lastModifiedBy>Robin Storey</cp:lastModifiedBy>
  <cp:revision>1</cp:revision>
  <dcterms:created xsi:type="dcterms:W3CDTF">2021-03-24T18:27:00Z</dcterms:created>
  <dcterms:modified xsi:type="dcterms:W3CDTF">2021-03-24T18:30:00Z</dcterms:modified>
</cp:coreProperties>
</file>